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
        <w:gridCol w:w="5595"/>
        <w:gridCol w:w="8853"/>
      </w:tblGrid>
      <w:tr w:rsidR="00BA1432">
        <w:trPr>
          <w:trHeight w:val="180"/>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p w:rsidR="00BA1432" w:rsidRDefault="00BA1432">
            <w:pPr>
              <w:pStyle w:val="EmptyCellLayoutStyle"/>
              <w:spacing w:after="0" w:line="240" w:lineRule="auto"/>
            </w:pPr>
          </w:p>
        </w:tc>
      </w:tr>
      <w:tr w:rsidR="00BA1432">
        <w:trPr>
          <w:trHeight w:val="1036"/>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tbl>
            <w:tblPr>
              <w:tblW w:w="3129" w:type="dxa"/>
              <w:tblInd w:w="5447" w:type="dxa"/>
              <w:tblCellMar>
                <w:left w:w="0" w:type="dxa"/>
                <w:right w:w="0" w:type="dxa"/>
              </w:tblCellMar>
              <w:tblLook w:val="04A0" w:firstRow="1" w:lastRow="0" w:firstColumn="1" w:lastColumn="0" w:noHBand="0" w:noVBand="1"/>
            </w:tblPr>
            <w:tblGrid>
              <w:gridCol w:w="3129"/>
            </w:tblGrid>
            <w:tr w:rsidR="00BA1432" w:rsidTr="00154D43">
              <w:trPr>
                <w:trHeight w:val="958"/>
              </w:trPr>
              <w:tc>
                <w:tcPr>
                  <w:tcW w:w="3129" w:type="dxa"/>
                  <w:tcBorders>
                    <w:top w:val="nil"/>
                    <w:left w:val="nil"/>
                    <w:bottom w:val="nil"/>
                    <w:right w:val="nil"/>
                  </w:tcBorders>
                  <w:tcMar>
                    <w:top w:w="39" w:type="dxa"/>
                    <w:left w:w="39" w:type="dxa"/>
                    <w:bottom w:w="39" w:type="dxa"/>
                    <w:right w:w="39" w:type="dxa"/>
                  </w:tcMar>
                </w:tcPr>
                <w:p w:rsidR="00BA1432" w:rsidRDefault="000360E7">
                  <w:pPr>
                    <w:spacing w:after="0" w:line="240" w:lineRule="auto"/>
                  </w:pPr>
                  <w:r>
                    <w:rPr>
                      <w:color w:val="000000"/>
                    </w:rPr>
                    <w:t>PATVIRTINTA</w:t>
                  </w:r>
                  <w:r>
                    <w:rPr>
                      <w:color w:val="000000"/>
                    </w:rPr>
                    <w:br/>
                    <w:t>Kauno lopšelio-darželio „Tukas“</w:t>
                  </w:r>
                </w:p>
                <w:p w:rsidR="00BA1432" w:rsidRDefault="000360E7" w:rsidP="000360E7">
                  <w:pPr>
                    <w:spacing w:after="0" w:line="240" w:lineRule="auto"/>
                  </w:pPr>
                  <w:r>
                    <w:rPr>
                      <w:color w:val="000000"/>
                    </w:rPr>
                    <w:t>Direktoriaus 2025 m. vasario 28 d.</w:t>
                  </w:r>
                  <w:r>
                    <w:rPr>
                      <w:color w:val="000000"/>
                    </w:rPr>
                    <w:br/>
                    <w:t>įsakymu Nr. V-</w:t>
                  </w:r>
                  <w:r w:rsidR="00FB78E5">
                    <w:rPr>
                      <w:color w:val="000000"/>
                    </w:rPr>
                    <w:t xml:space="preserve"> 95</w:t>
                  </w:r>
                  <w:r w:rsidR="00346A19">
                    <w:rPr>
                      <w:color w:val="000000"/>
                    </w:rPr>
                    <w:t xml:space="preserve"> </w:t>
                  </w:r>
                </w:p>
              </w:tc>
            </w:tr>
          </w:tbl>
          <w:p w:rsidR="00BA1432" w:rsidRDefault="00BA1432">
            <w:pPr>
              <w:spacing w:after="0" w:line="240" w:lineRule="auto"/>
            </w:pPr>
          </w:p>
        </w:tc>
      </w:tr>
      <w:tr w:rsidR="00BA1432">
        <w:trPr>
          <w:trHeight w:val="223"/>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p w:rsidR="00BA1432" w:rsidRDefault="00BA1432">
            <w:pPr>
              <w:pStyle w:val="EmptyCellLayoutStyle"/>
              <w:spacing w:after="0" w:line="240" w:lineRule="auto"/>
            </w:pPr>
          </w:p>
        </w:tc>
      </w:tr>
      <w:tr w:rsidR="00154D43" w:rsidTr="00154D43">
        <w:trPr>
          <w:trHeight w:val="340"/>
        </w:trPr>
        <w:tc>
          <w:tcPr>
            <w:tcW w:w="9" w:type="dxa"/>
          </w:tcPr>
          <w:p w:rsidR="00BA1432" w:rsidRDefault="00BA1432">
            <w:pPr>
              <w:pStyle w:val="EmptyCellLayoutStyle"/>
              <w:spacing w:after="0" w:line="240" w:lineRule="auto"/>
            </w:pPr>
          </w:p>
        </w:tc>
        <w:tc>
          <w:tcPr>
            <w:tcW w:w="5595" w:type="dxa"/>
            <w:gridSpan w:val="2"/>
          </w:tcPr>
          <w:tbl>
            <w:tblPr>
              <w:tblW w:w="11892" w:type="dxa"/>
              <w:tblInd w:w="1403" w:type="dxa"/>
              <w:tblCellMar>
                <w:left w:w="0" w:type="dxa"/>
                <w:right w:w="0" w:type="dxa"/>
              </w:tblCellMar>
              <w:tblLook w:val="04A0" w:firstRow="1" w:lastRow="0" w:firstColumn="1" w:lastColumn="0" w:noHBand="0" w:noVBand="1"/>
            </w:tblPr>
            <w:tblGrid>
              <w:gridCol w:w="11892"/>
            </w:tblGrid>
            <w:tr w:rsidR="00BA1432" w:rsidTr="00154D43">
              <w:trPr>
                <w:trHeight w:val="262"/>
              </w:trPr>
              <w:tc>
                <w:tcPr>
                  <w:tcW w:w="11892" w:type="dxa"/>
                  <w:tcBorders>
                    <w:top w:val="nil"/>
                    <w:left w:val="nil"/>
                    <w:bottom w:val="nil"/>
                    <w:right w:val="nil"/>
                  </w:tcBorders>
                  <w:tcMar>
                    <w:top w:w="39" w:type="dxa"/>
                    <w:left w:w="39" w:type="dxa"/>
                    <w:bottom w:w="39" w:type="dxa"/>
                    <w:right w:w="39" w:type="dxa"/>
                  </w:tcMar>
                </w:tcPr>
                <w:p w:rsidR="00BA1432" w:rsidRDefault="000360E7" w:rsidP="00154D43">
                  <w:pPr>
                    <w:spacing w:after="0" w:line="240" w:lineRule="auto"/>
                    <w:jc w:val="center"/>
                  </w:pPr>
                  <w:r>
                    <w:rPr>
                      <w:b/>
                      <w:color w:val="000000"/>
                      <w:sz w:val="24"/>
                    </w:rPr>
                    <w:t>KAUNO MIESTO SAVIVALDYBĖS ADM</w:t>
                  </w:r>
                  <w:bookmarkStart w:id="0" w:name="_GoBack"/>
                  <w:bookmarkEnd w:id="0"/>
                  <w:r>
                    <w:rPr>
                      <w:b/>
                      <w:color w:val="000000"/>
                      <w:sz w:val="24"/>
                    </w:rPr>
                    <w:t xml:space="preserve">INISTRACIJOS </w:t>
                  </w:r>
                  <w:r w:rsidR="00154D43">
                    <w:rPr>
                      <w:b/>
                      <w:color w:val="000000"/>
                      <w:sz w:val="24"/>
                    </w:rPr>
                    <w:t xml:space="preserve">ŠVIETIMO </w:t>
                  </w:r>
                  <w:r>
                    <w:rPr>
                      <w:b/>
                      <w:color w:val="000000"/>
                      <w:sz w:val="24"/>
                    </w:rPr>
                    <w:t>SKYRIUI PRISKIRTOS ĮSTAIGOS KAUNO LOPŠELIS-DARŽELIS TUKAS</w:t>
                  </w:r>
                </w:p>
              </w:tc>
            </w:tr>
          </w:tbl>
          <w:p w:rsidR="00BA1432" w:rsidRDefault="00BA1432">
            <w:pPr>
              <w:spacing w:after="0" w:line="240" w:lineRule="auto"/>
            </w:pPr>
          </w:p>
        </w:tc>
      </w:tr>
      <w:tr w:rsidR="00BA1432">
        <w:trPr>
          <w:trHeight w:val="79"/>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p w:rsidR="00BA1432" w:rsidRDefault="00BA1432">
            <w:pPr>
              <w:pStyle w:val="EmptyCellLayoutStyle"/>
              <w:spacing w:after="0" w:line="240" w:lineRule="auto"/>
            </w:pPr>
          </w:p>
        </w:tc>
      </w:tr>
      <w:tr w:rsidR="00154D43" w:rsidTr="00154D43">
        <w:trPr>
          <w:trHeight w:val="340"/>
        </w:trPr>
        <w:tc>
          <w:tcPr>
            <w:tcW w:w="9" w:type="dxa"/>
          </w:tcPr>
          <w:p w:rsidR="00BA1432" w:rsidRDefault="00BA1432">
            <w:pPr>
              <w:pStyle w:val="EmptyCellLayoutStyle"/>
              <w:spacing w:after="0" w:line="240" w:lineRule="auto"/>
            </w:pPr>
          </w:p>
        </w:tc>
        <w:tc>
          <w:tcPr>
            <w:tcW w:w="5595" w:type="dxa"/>
            <w:gridSpan w:val="2"/>
          </w:tcPr>
          <w:tbl>
            <w:tblPr>
              <w:tblW w:w="0" w:type="auto"/>
              <w:tblInd w:w="1686" w:type="dxa"/>
              <w:tblCellMar>
                <w:left w:w="0" w:type="dxa"/>
                <w:right w:w="0" w:type="dxa"/>
              </w:tblCellMar>
              <w:tblLook w:val="04A0" w:firstRow="1" w:lastRow="0" w:firstColumn="1" w:lastColumn="0" w:noHBand="0" w:noVBand="1"/>
            </w:tblPr>
            <w:tblGrid>
              <w:gridCol w:w="11892"/>
            </w:tblGrid>
            <w:tr w:rsidR="00BA1432" w:rsidTr="00154D43">
              <w:trPr>
                <w:trHeight w:val="262"/>
              </w:trPr>
              <w:tc>
                <w:tcPr>
                  <w:tcW w:w="11892" w:type="dxa"/>
                  <w:tcBorders>
                    <w:top w:val="nil"/>
                    <w:left w:val="nil"/>
                    <w:bottom w:val="nil"/>
                    <w:right w:val="nil"/>
                  </w:tcBorders>
                  <w:tcMar>
                    <w:top w:w="39" w:type="dxa"/>
                    <w:left w:w="39" w:type="dxa"/>
                    <w:bottom w:w="39" w:type="dxa"/>
                    <w:right w:w="39" w:type="dxa"/>
                  </w:tcMar>
                </w:tcPr>
                <w:p w:rsidR="00BA1432" w:rsidRDefault="000360E7">
                  <w:pPr>
                    <w:spacing w:after="0" w:line="240" w:lineRule="auto"/>
                    <w:jc w:val="center"/>
                  </w:pPr>
                  <w:r>
                    <w:rPr>
                      <w:b/>
                      <w:color w:val="000000"/>
                      <w:sz w:val="24"/>
                    </w:rPr>
                    <w:t>2025 METŲ VEIKLOS PLANAS</w:t>
                  </w:r>
                </w:p>
              </w:tc>
            </w:tr>
          </w:tbl>
          <w:p w:rsidR="00BA1432" w:rsidRDefault="00BA1432">
            <w:pPr>
              <w:spacing w:after="0" w:line="240" w:lineRule="auto"/>
            </w:pPr>
          </w:p>
        </w:tc>
      </w:tr>
      <w:tr w:rsidR="00BA1432">
        <w:trPr>
          <w:trHeight w:val="120"/>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p w:rsidR="00BA1432" w:rsidRDefault="00BA1432">
            <w:pPr>
              <w:pStyle w:val="EmptyCellLayoutStyle"/>
              <w:spacing w:after="0" w:line="240" w:lineRule="auto"/>
            </w:pPr>
          </w:p>
        </w:tc>
      </w:tr>
      <w:tr w:rsidR="00154D43" w:rsidTr="00154D43">
        <w:tc>
          <w:tcPr>
            <w:tcW w:w="9" w:type="dxa"/>
            <w:gridSpan w:val="3"/>
          </w:tcPr>
          <w:tbl>
            <w:tblPr>
              <w:tblW w:w="13892" w:type="dxa"/>
              <w:tblInd w:w="284" w:type="dxa"/>
              <w:tblBorders>
                <w:top w:val="nil"/>
                <w:left w:val="nil"/>
                <w:bottom w:val="nil"/>
                <w:right w:val="nil"/>
              </w:tblBorders>
              <w:tblCellMar>
                <w:left w:w="0" w:type="dxa"/>
                <w:right w:w="0" w:type="dxa"/>
              </w:tblCellMar>
              <w:tblLook w:val="04A0" w:firstRow="1" w:lastRow="0" w:firstColumn="1" w:lastColumn="0" w:noHBand="0" w:noVBand="1"/>
            </w:tblPr>
            <w:tblGrid>
              <w:gridCol w:w="54"/>
              <w:gridCol w:w="3583"/>
              <w:gridCol w:w="2785"/>
              <w:gridCol w:w="967"/>
              <w:gridCol w:w="6503"/>
            </w:tblGrid>
            <w:tr w:rsidR="00BA1432"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Metų prioritetinė veikla</w:t>
                  </w:r>
                </w:p>
              </w:tc>
              <w:tc>
                <w:tcPr>
                  <w:tcW w:w="278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 xml:space="preserve">Siekiamas pokytis </w:t>
                  </w:r>
                  <w:r>
                    <w:rPr>
                      <w:color w:val="000000"/>
                    </w:rPr>
                    <w:br/>
                    <w:t>(vertinimo kriterijus, matavimo vienetas)</w:t>
                  </w:r>
                </w:p>
              </w:tc>
              <w:tc>
                <w:tcPr>
                  <w:tcW w:w="96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Siekiama reikšmė</w:t>
                  </w:r>
                </w:p>
              </w:tc>
              <w:tc>
                <w:tcPr>
                  <w:tcW w:w="650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Sąsaja su įstaigos, savivaldybės ir (ar) kitų institucijų / įstaigų planavimo dokumentais, kurie lemia įstaigos</w:t>
                  </w:r>
                  <w:r>
                    <w:rPr>
                      <w:color w:val="000000"/>
                    </w:rPr>
                    <w:br/>
                    <w:t xml:space="preserve"> veiklos prioritetus</w:t>
                  </w:r>
                </w:p>
              </w:tc>
            </w:tr>
            <w:tr w:rsidR="00BA1432"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rsidP="00154D43">
                  <w:pPr>
                    <w:spacing w:after="0" w:line="240" w:lineRule="auto"/>
                  </w:pPr>
                  <w:r>
                    <w:rPr>
                      <w:color w:val="000000"/>
                    </w:rPr>
                    <w:t xml:space="preserve">1. Įtraukiojo ugdymo užtikrinimas įvairių poreikių vaikams. </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Pedagogų ir švietimo pagalbos specialistų, dalyvavusių tiksliniuose mokymuose, skirtuose </w:t>
                  </w:r>
                  <w:proofErr w:type="spellStart"/>
                  <w:r>
                    <w:rPr>
                      <w:color w:val="000000"/>
                    </w:rPr>
                    <w:t>įtraukčiai</w:t>
                  </w:r>
                  <w:proofErr w:type="spellEnd"/>
                  <w:r>
                    <w:rPr>
                      <w:color w:val="000000"/>
                    </w:rPr>
                    <w:t xml:space="preserve"> švietime, skaičius,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6.00</w:t>
                  </w:r>
                </w:p>
              </w:tc>
              <w:tc>
                <w:tcPr>
                  <w:tcW w:w="6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Vertinimo kriterijus skirtas įvertinti, kiek pedagogų ir švietimo pagalbos specialistų yra pasirengę teikti visokeriopą pagalbą, vaikams, mokiniams, organizuojant ir įgyvendinant </w:t>
                  </w:r>
                  <w:proofErr w:type="spellStart"/>
                  <w:r>
                    <w:rPr>
                      <w:color w:val="000000"/>
                    </w:rPr>
                    <w:t>įtraukųjį</w:t>
                  </w:r>
                  <w:proofErr w:type="spellEnd"/>
                  <w:r>
                    <w:rPr>
                      <w:color w:val="000000"/>
                    </w:rPr>
                    <w:t xml:space="preserve"> ugdymą. Vertinimo kriterijus apskaičiuojamas: pedagogų ir švietimo pagalbos specialistų, dalyvavusių tiksliniuose mokymuose, skirtuose, </w:t>
                  </w:r>
                  <w:proofErr w:type="spellStart"/>
                  <w:r>
                    <w:rPr>
                      <w:color w:val="000000"/>
                    </w:rPr>
                    <w:t>įtraukčiai</w:t>
                  </w:r>
                  <w:proofErr w:type="spellEnd"/>
                  <w:r>
                    <w:rPr>
                      <w:color w:val="000000"/>
                    </w:rPr>
                    <w:t xml:space="preserve"> švietime, suma</w:t>
                  </w:r>
                </w:p>
              </w:tc>
            </w:tr>
            <w:tr w:rsidR="00BA1432"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154D43">
                  <w:pPr>
                    <w:spacing w:after="0" w:line="240" w:lineRule="auto"/>
                  </w:pPr>
                  <w:r>
                    <w:rPr>
                      <w:color w:val="000000"/>
                    </w:rPr>
                    <w:t>2. Atnaujinto ugdymo turinio įgyvendinimas.</w:t>
                  </w: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Organizuotų ir įgyvendintų gerosios patirties sklaidos renginių (susitikimų), skirtų atnaujintam ugdymo turiniui įgyvendinti, skaičius, Vnt.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2.00</w:t>
                  </w:r>
                </w:p>
              </w:tc>
              <w:tc>
                <w:tcPr>
                  <w:tcW w:w="6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Vertinimo kriterijus skirtas įvertinti, kiek organizuota ir įvykę gerosios patirties sklaidos renginių (susitikimų), skirtų atnaujintam ugdymo turiniui įgyvendinti. Vertinimo kriterijus apskaičiuojamas: gerosios patirties sklaidos renginių, susitikimų), skirtų atnaujintam ugdymo turiniui įgyvendinti, suma</w:t>
                  </w:r>
                </w:p>
              </w:tc>
            </w:tr>
            <w:tr w:rsidR="00BA1432"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c>
                <w:tcPr>
                  <w:tcW w:w="27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c>
                <w:tcPr>
                  <w:tcW w:w="6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r>
            <w:tr w:rsidR="00154D43"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right"/>
                  </w:pPr>
                  <w:r>
                    <w:rPr>
                      <w:color w:val="000000"/>
                    </w:rPr>
                    <w:t>Metiniai savivaldybės biudžeto asignavimai</w:t>
                  </w:r>
                </w:p>
              </w:tc>
              <w:tc>
                <w:tcPr>
                  <w:tcW w:w="10255"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rsidP="00484AF4">
                  <w:pPr>
                    <w:spacing w:after="0" w:line="240" w:lineRule="auto"/>
                  </w:pPr>
                  <w:r>
                    <w:rPr>
                      <w:b/>
                      <w:color w:val="000000"/>
                    </w:rPr>
                    <w:t xml:space="preserve">Metiniai asignavimai </w:t>
                  </w:r>
                  <w:r w:rsidR="00484AF4">
                    <w:rPr>
                      <w:b/>
                      <w:color w:val="000000"/>
                    </w:rPr>
                    <w:t xml:space="preserve">819 </w:t>
                  </w:r>
                  <w:r>
                    <w:rPr>
                      <w:b/>
                      <w:color w:val="000000"/>
                    </w:rPr>
                    <w:t>tūkst. e</w:t>
                  </w:r>
                  <w:r w:rsidR="00484AF4">
                    <w:rPr>
                      <w:b/>
                      <w:color w:val="000000"/>
                    </w:rPr>
                    <w:t>urų, Iš jų: darbo užmokesčiui 748 tūkst. eurų, Turtui 13</w:t>
                  </w:r>
                  <w:r>
                    <w:rPr>
                      <w:b/>
                      <w:color w:val="000000"/>
                    </w:rPr>
                    <w:t xml:space="preserve"> tūkst. eurų</w:t>
                  </w:r>
                </w:p>
              </w:tc>
            </w:tr>
            <w:tr w:rsidR="00154D43" w:rsidTr="00154D43">
              <w:trPr>
                <w:trHeight w:val="262"/>
              </w:trPr>
              <w:tc>
                <w:tcPr>
                  <w:tcW w:w="54" w:type="dxa"/>
                </w:tcPr>
                <w:p w:rsidR="00BA1432" w:rsidRDefault="00BA1432">
                  <w:pPr>
                    <w:spacing w:after="0" w:line="240" w:lineRule="auto"/>
                  </w:pPr>
                </w:p>
              </w:tc>
              <w:tc>
                <w:tcPr>
                  <w:tcW w:w="35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right"/>
                  </w:pPr>
                  <w:r>
                    <w:rPr>
                      <w:color w:val="000000"/>
                    </w:rPr>
                    <w:t>Veiklos planu prisidedama siekiant šių 2025-2027 m. strateginis veiklos planas tikslų ir uždavinių</w:t>
                  </w:r>
                </w:p>
              </w:tc>
              <w:tc>
                <w:tcPr>
                  <w:tcW w:w="10255"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r>
          </w:tbl>
          <w:p w:rsidR="00BA1432" w:rsidRDefault="00BA1432">
            <w:pPr>
              <w:spacing w:after="0" w:line="240" w:lineRule="auto"/>
            </w:pPr>
          </w:p>
        </w:tc>
      </w:tr>
      <w:tr w:rsidR="00BA1432">
        <w:trPr>
          <w:trHeight w:val="100"/>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p w:rsidR="00154D43" w:rsidRDefault="00154D43">
            <w:pPr>
              <w:pStyle w:val="EmptyCellLayoutStyle"/>
              <w:spacing w:after="0" w:line="240" w:lineRule="auto"/>
            </w:pPr>
          </w:p>
        </w:tc>
        <w:tc>
          <w:tcPr>
            <w:tcW w:w="3961" w:type="dxa"/>
          </w:tcPr>
          <w:p w:rsidR="00BA1432" w:rsidRDefault="00BA1432">
            <w:pPr>
              <w:pStyle w:val="EmptyCellLayoutStyle"/>
              <w:spacing w:after="0" w:line="240" w:lineRule="auto"/>
            </w:pPr>
          </w:p>
        </w:tc>
      </w:tr>
      <w:tr w:rsidR="00154D43" w:rsidTr="00154D43">
        <w:tc>
          <w:tcPr>
            <w:tcW w:w="9" w:type="dxa"/>
          </w:tcPr>
          <w:p w:rsidR="00BA1432" w:rsidRDefault="00BA1432">
            <w:pPr>
              <w:pStyle w:val="EmptyCellLayoutStyle"/>
              <w:spacing w:after="0" w:line="240" w:lineRule="auto"/>
            </w:pPr>
          </w:p>
        </w:tc>
        <w:tc>
          <w:tcPr>
            <w:tcW w:w="5595" w:type="dxa"/>
            <w:gridSpan w:val="2"/>
          </w:tcPr>
          <w:tbl>
            <w:tblPr>
              <w:tblW w:w="13891" w:type="dxa"/>
              <w:tblInd w:w="269" w:type="dxa"/>
              <w:tblBorders>
                <w:top w:val="nil"/>
                <w:left w:val="nil"/>
                <w:bottom w:val="nil"/>
                <w:right w:val="nil"/>
              </w:tblBorders>
              <w:tblCellMar>
                <w:left w:w="0" w:type="dxa"/>
                <w:right w:w="0" w:type="dxa"/>
              </w:tblCellMar>
              <w:tblLook w:val="04A0" w:firstRow="1" w:lastRow="0" w:firstColumn="1" w:lastColumn="0" w:noHBand="0" w:noVBand="1"/>
            </w:tblPr>
            <w:tblGrid>
              <w:gridCol w:w="54"/>
              <w:gridCol w:w="3571"/>
              <w:gridCol w:w="2783"/>
              <w:gridCol w:w="967"/>
              <w:gridCol w:w="6516"/>
            </w:tblGrid>
            <w:tr w:rsidR="00BA1432" w:rsidTr="00154D43">
              <w:trPr>
                <w:trHeight w:val="262"/>
              </w:trPr>
              <w:tc>
                <w:tcPr>
                  <w:tcW w:w="54" w:type="dxa"/>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Veiklos sritis, tema, metinis veiksmas / darbas</w:t>
                  </w:r>
                </w:p>
              </w:tc>
              <w:tc>
                <w:tcPr>
                  <w:tcW w:w="278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Pagrindinis vertinimo kriterijus, matavimo vienetas</w:t>
                  </w:r>
                </w:p>
              </w:tc>
              <w:tc>
                <w:tcPr>
                  <w:tcW w:w="96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Siekiama reikšmė</w:t>
                  </w:r>
                </w:p>
              </w:tc>
              <w:tc>
                <w:tcPr>
                  <w:tcW w:w="651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A1432" w:rsidRDefault="000360E7">
                  <w:pPr>
                    <w:spacing w:after="0" w:line="240" w:lineRule="auto"/>
                    <w:jc w:val="center"/>
                  </w:pPr>
                  <w:r>
                    <w:rPr>
                      <w:color w:val="000000"/>
                    </w:rPr>
                    <w:t>Atsakingas (-i) darbuotojas (-ai), pareigos</w:t>
                  </w:r>
                </w:p>
              </w:tc>
            </w:tr>
            <w:tr w:rsidR="00154D43" w:rsidTr="00154D43">
              <w:trPr>
                <w:trHeight w:val="262"/>
              </w:trPr>
              <w:tc>
                <w:tcPr>
                  <w:tcW w:w="54" w:type="dxa"/>
                  <w:vMerge w:val="restart"/>
                  <w:tcBorders>
                    <w:bottom w:val="nil"/>
                  </w:tcBorders>
                </w:tcPr>
                <w:p w:rsidR="00BA1432" w:rsidRDefault="00BA1432">
                  <w:pPr>
                    <w:spacing w:after="0" w:line="240" w:lineRule="auto"/>
                  </w:pPr>
                </w:p>
              </w:tc>
              <w:tc>
                <w:tcPr>
                  <w:tcW w:w="13837" w:type="dxa"/>
                  <w:gridSpan w:val="4"/>
                  <w:tcBorders>
                    <w:top w:val="single" w:sz="7" w:space="0" w:color="000000"/>
                    <w:left w:val="single" w:sz="7" w:space="0" w:color="000000"/>
                    <w:bottom w:val="single" w:sz="8" w:space="0" w:color="000000"/>
                    <w:right w:val="single" w:sz="7" w:space="0" w:color="000000"/>
                  </w:tcBorders>
                  <w:tcMar>
                    <w:top w:w="39" w:type="dxa"/>
                    <w:left w:w="39" w:type="dxa"/>
                    <w:bottom w:w="39" w:type="dxa"/>
                    <w:right w:w="39" w:type="dxa"/>
                  </w:tcMar>
                </w:tcPr>
                <w:p w:rsidR="00BA1432" w:rsidRDefault="000360E7">
                  <w:pPr>
                    <w:spacing w:after="0" w:line="240" w:lineRule="auto"/>
                  </w:pPr>
                  <w:r>
                    <w:rPr>
                      <w:b/>
                      <w:color w:val="000000"/>
                    </w:rPr>
                    <w:t>ŽMOGIŠKIEJI IŠTEKLIAI</w:t>
                  </w: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val="restart"/>
                  <w:tcBorders>
                    <w:top w:val="single" w:sz="8" w:space="0" w:color="000000"/>
                    <w:left w:val="single" w:sz="8" w:space="0" w:color="000000"/>
                    <w:right w:val="single" w:sz="8" w:space="0" w:color="000000"/>
                  </w:tcBorders>
                  <w:tcMar>
                    <w:top w:w="39" w:type="dxa"/>
                    <w:left w:w="39" w:type="dxa"/>
                    <w:bottom w:w="39" w:type="dxa"/>
                    <w:right w:w="39" w:type="dxa"/>
                  </w:tcMar>
                </w:tcPr>
                <w:p w:rsidR="00154D43" w:rsidRDefault="00154D43" w:rsidP="00154D43">
                  <w:pPr>
                    <w:spacing w:after="0" w:line="240" w:lineRule="auto"/>
                  </w:pPr>
                  <w:r>
                    <w:rPr>
                      <w:color w:val="000000"/>
                    </w:rPr>
                    <w:t>I. Personalo valdymas</w:t>
                  </w:r>
                  <w:r>
                    <w:rPr>
                      <w:color w:val="000000"/>
                    </w:rPr>
                    <w:br/>
                    <w:t xml:space="preserve">1.1.  Organizuoti metinius darbuotojų  veiklos vertinimo pokalbius. Po jų </w:t>
                  </w:r>
                  <w:r>
                    <w:rPr>
                      <w:color w:val="000000"/>
                    </w:rPr>
                    <w:lastRenderedPageBreak/>
                    <w:t xml:space="preserve">apibendrinti  praėjusio darbo laikotarpio tikslus bei pasiektus metinius rezultatus, numatyti ateinančių metų siekius.                                                                                   Apibendrinus metinius pedagogų veiklos vertinimo ir įsivertinimo pokalbio rezultatus, numatyti įstaigos žmogiškųjų išteklių ateities planai ir galimybės.                                                                                                                            1.2.  Skatinti pasidalinimą gerąją darbo patirtimi įstaigos viduje. </w:t>
                  </w:r>
                  <w:r>
                    <w:rPr>
                      <w:color w:val="000000"/>
                    </w:rPr>
                    <w:br/>
                    <w:t xml:space="preserve">1.3  .Organizuoti tradicinius kasmetinius renginius darbuotojų komandinės veiklos efektyvumui didinti.                                                                                                                                                       1.4.  Priskirti mokytoją - </w:t>
                  </w:r>
                  <w:proofErr w:type="spellStart"/>
                  <w:r>
                    <w:rPr>
                      <w:color w:val="000000"/>
                    </w:rPr>
                    <w:t>mentorių</w:t>
                  </w:r>
                  <w:proofErr w:type="spellEnd"/>
                  <w:r>
                    <w:rPr>
                      <w:color w:val="000000"/>
                    </w:rPr>
                    <w:t xml:space="preserve"> naujai dirbantiems pedagogams.</w:t>
                  </w:r>
                </w:p>
              </w:tc>
              <w:tc>
                <w:tcPr>
                  <w:tcW w:w="2783"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lastRenderedPageBreak/>
                    <w:t>Užimtų pareigybių dalis, Proc.</w:t>
                  </w:r>
                </w:p>
              </w:tc>
              <w:tc>
                <w:tcPr>
                  <w:tcW w:w="967"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98.00</w:t>
                  </w:r>
                </w:p>
              </w:tc>
              <w:tc>
                <w:tcPr>
                  <w:tcW w:w="6516"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tcBorders>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Pedagoginių pareigybių dalis nuo patvirtintų pareigybių , Proc.</w:t>
                  </w:r>
                </w:p>
              </w:tc>
              <w:tc>
                <w:tcPr>
                  <w:tcW w:w="967"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54.00</w:t>
                  </w:r>
                </w:p>
              </w:tc>
              <w:tc>
                <w:tcPr>
                  <w:tcW w:w="6516"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top w:val="single" w:sz="4" w:space="0" w:color="auto"/>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Paslaugas teikiančių pagalbos specialistų skaičius, </w:t>
                  </w:r>
                  <w:proofErr w:type="spellStart"/>
                  <w:r>
                    <w:rPr>
                      <w:color w:val="000000"/>
                    </w:rPr>
                    <w:t>Asm</w:t>
                  </w:r>
                  <w:proofErr w:type="spellEnd"/>
                  <w:r>
                    <w:rPr>
                      <w:color w:val="000000"/>
                    </w:rPr>
                    <w:t>.</w:t>
                  </w:r>
                </w:p>
              </w:tc>
              <w:tc>
                <w:tcPr>
                  <w:tcW w:w="96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5.00</w:t>
                  </w:r>
                </w:p>
              </w:tc>
              <w:tc>
                <w:tcPr>
                  <w:tcW w:w="6516"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804B31">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Bendras pedagoginių darbuotojų skaičius (tarp jų ir vadovai), tenkantis vienam vaikui (mokiniui),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0.15</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804B31">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Darbuotojų kaitos indeksas,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4.00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rsidP="00154D43">
                  <w:pPr>
                    <w:spacing w:after="0" w:line="240" w:lineRule="auto"/>
                  </w:pPr>
                  <w:r>
                    <w:rPr>
                      <w:color w:val="000000"/>
                    </w:rPr>
                    <w:t>II. Kvalifikacijos tobulinimas</w:t>
                  </w:r>
                  <w:r>
                    <w:rPr>
                      <w:color w:val="000000"/>
                    </w:rPr>
                    <w:br/>
                    <w:t>1.  Organizuoti ir įgyvendinti įstaigos darbuotojų kvalifikacijos tobulinimą                                                                                            1.1. Parengti ir įgyvendinti pedagogų kvalifikacijos tobulinimo planą 2025 metams.                                                                                                                       1.2. Sudaryti galimybes nenutrūkstamai ir sistemingai ugdyti profesines bei asmenines kompetencijas ,,Besimokančių darželių„ tinkle.                                                                                                                                     1.3. Vykdyti kvalifikacijos tobulinimo stebėseną.                                                                                                      1.4. Sudaryti sąlygas pedagogų darbo patirties sklaidai bei mokymuisi vienam iš kito.</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Kvalifikaciją tobulinusių darbuotojų dalis,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55.00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154D43">
              <w:trPr>
                <w:trHeight w:val="262"/>
              </w:trPr>
              <w:tc>
                <w:tcPr>
                  <w:tcW w:w="54" w:type="dxa"/>
                  <w:vMerge w:val="restart"/>
                  <w:tcBorders>
                    <w:bottom w:val="nil"/>
                  </w:tcBorders>
                </w:tcPr>
                <w:p w:rsidR="00BA1432" w:rsidRDefault="00BA1432">
                  <w:pPr>
                    <w:spacing w:after="0" w:line="240" w:lineRule="auto"/>
                  </w:pPr>
                </w:p>
              </w:tc>
              <w:tc>
                <w:tcPr>
                  <w:tcW w:w="1383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b/>
                      <w:color w:val="000000"/>
                    </w:rPr>
                    <w:t>FINANSAI</w:t>
                  </w:r>
                </w:p>
              </w:tc>
            </w:tr>
            <w:tr w:rsidR="00154D43" w:rsidTr="00A70FB8">
              <w:trPr>
                <w:trHeight w:val="262"/>
              </w:trPr>
              <w:tc>
                <w:tcPr>
                  <w:tcW w:w="54" w:type="dxa"/>
                  <w:vMerge/>
                </w:tcPr>
                <w:p w:rsidR="00154D43" w:rsidRDefault="00154D43">
                  <w:pPr>
                    <w:spacing w:after="0" w:line="240" w:lineRule="auto"/>
                  </w:pPr>
                </w:p>
              </w:tc>
              <w:tc>
                <w:tcPr>
                  <w:tcW w:w="3571"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rsidR="00154D43" w:rsidRDefault="00154D43" w:rsidP="00154D43">
                  <w:pPr>
                    <w:spacing w:after="0" w:line="240" w:lineRule="auto"/>
                  </w:pPr>
                  <w:r>
                    <w:rPr>
                      <w:color w:val="000000"/>
                    </w:rPr>
                    <w:t>I. Gautos lėšos</w:t>
                  </w:r>
                  <w:r>
                    <w:rPr>
                      <w:color w:val="000000"/>
                    </w:rPr>
                    <w:br/>
                    <w:t>1.Realizuoti finansinių išteklių planavimo ir racionalaus jų panaudojimo sistemą:                                                                                                                         1.1 Parengti metinį įstaigos biudžeto projektą, pagrįstą skaičiavimais ir išvadomis.</w:t>
                  </w:r>
                  <w:r>
                    <w:rPr>
                      <w:color w:val="000000"/>
                    </w:rPr>
                    <w:br/>
                    <w:t>1.2 Užtikrinti tėvų įnašų, už teikiamas paslaugas įstaigoje, kontrolę.</w:t>
                  </w:r>
                  <w:r>
                    <w:rPr>
                      <w:color w:val="000000"/>
                    </w:rPr>
                    <w:br/>
                    <w:t>2. Panaudoti papildomus finansavimo šaltinius, ieškant alternatyvių finansinių</w:t>
                  </w:r>
                  <w:r>
                    <w:rPr>
                      <w:color w:val="000000"/>
                    </w:rPr>
                    <w:br/>
                  </w:r>
                  <w:r>
                    <w:rPr>
                      <w:color w:val="000000"/>
                    </w:rPr>
                    <w:lastRenderedPageBreak/>
                    <w:t>išteklių šaltinių:</w:t>
                  </w:r>
                  <w:r>
                    <w:rPr>
                      <w:color w:val="000000"/>
                    </w:rPr>
                    <w:br/>
                    <w:t>2.1 Pritraukti 1.2 proc. gyventojų pajamų mokesčio lėšas.</w:t>
                  </w:r>
                  <w:r>
                    <w:rPr>
                      <w:color w:val="000000"/>
                    </w:rPr>
                    <w:br/>
                    <w:t>2.2 Dalyvauti ES vaisių, daržovių ir pieno vartojimo skatinimo mokyklose programoje.                                                                                                                     2.3. Nuoma .</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lastRenderedPageBreak/>
                    <w:t>Įstaigos uždirbtų metinių pajamų dalis nuo metinio įstaigos biudžeto,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7.00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A70FB8">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Įstaigos pritrauktos lėšos, </w:t>
                  </w:r>
                  <w:proofErr w:type="spellStart"/>
                  <w:r>
                    <w:rPr>
                      <w:color w:val="000000"/>
                    </w:rPr>
                    <w:t>Eur</w:t>
                  </w:r>
                  <w:proofErr w:type="spellEnd"/>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4,000.00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A70FB8">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Įstaigos vidutinė projektinio finansavimo paraiškomis laimėtų lėšų suma, </w:t>
                  </w:r>
                  <w:proofErr w:type="spellStart"/>
                  <w:r>
                    <w:rPr>
                      <w:color w:val="000000"/>
                    </w:rPr>
                    <w:t>Eur</w:t>
                  </w:r>
                  <w:proofErr w:type="spellEnd"/>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4731A6">
              <w:trPr>
                <w:trHeight w:val="262"/>
              </w:trPr>
              <w:tc>
                <w:tcPr>
                  <w:tcW w:w="54" w:type="dxa"/>
                  <w:vMerge/>
                </w:tcPr>
                <w:p w:rsidR="00154D43" w:rsidRDefault="00154D43">
                  <w:pPr>
                    <w:spacing w:after="0" w:line="240" w:lineRule="auto"/>
                  </w:pPr>
                </w:p>
              </w:tc>
              <w:tc>
                <w:tcPr>
                  <w:tcW w:w="3571"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rsidR="00154D43" w:rsidRDefault="00154D43" w:rsidP="00154D43">
                  <w:pPr>
                    <w:spacing w:after="0" w:line="240" w:lineRule="auto"/>
                  </w:pPr>
                  <w:r>
                    <w:rPr>
                      <w:color w:val="000000"/>
                    </w:rPr>
                    <w:t>II. Išlaidos</w:t>
                  </w:r>
                  <w:r>
                    <w:rPr>
                      <w:color w:val="000000"/>
                    </w:rPr>
                    <w:br/>
                    <w:t xml:space="preserve">1. Planuoti prekių, paslaugų ir darbų poreikį.                                                                                                             1.1. Racionalus finansinių išteklių panaudojimas, kas ketvirtį peržiūrint prioritetus.                                               </w:t>
                  </w:r>
                  <w:r>
                    <w:rPr>
                      <w:color w:val="000000"/>
                    </w:rPr>
                    <w:br/>
                    <w:t>1.2. Prekių ir paslaugų ir darbų pirkimų planavimas ir vykdymas per VIPIS sistemą, prioritetą teikiant pirkimams per CPO.                                                                                                                                                             1.3. Įstaigos lėšų panaudojimo ataskaitų rengimas ir viešinimas įstaigos bendruomenėje.</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Per ataskaitinius metus panaudotų asignavimų dalis nuo patvirtintų metinių asignavimų,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92.00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4731A6">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Per ataskaitinius metus panaudotų biudžeto asignavimų dalis nuo patvirtintų metinių biudžeto asignavimų,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92.00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4731A6">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Per ataskaitinius metus panaudotų asignavimų iš įstaigos įmokų pajamų dalis nuo patvirtintų asignavimų iš įstaigos įmokų pajamų,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81.00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val="restart"/>
                  <w:tcBorders>
                    <w:bottom w:val="nil"/>
                  </w:tcBorders>
                </w:tcPr>
                <w:p w:rsidR="00BA1432" w:rsidRDefault="00BA1432">
                  <w:pPr>
                    <w:spacing w:after="0" w:line="240" w:lineRule="auto"/>
                  </w:pPr>
                </w:p>
              </w:tc>
              <w:tc>
                <w:tcPr>
                  <w:tcW w:w="1383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b/>
                      <w:color w:val="000000"/>
                    </w:rPr>
                    <w:t>TURTAS</w:t>
                  </w:r>
                </w:p>
              </w:tc>
            </w:tr>
            <w:tr w:rsidR="00154D43" w:rsidTr="009832A9">
              <w:trPr>
                <w:trHeight w:val="262"/>
              </w:trPr>
              <w:tc>
                <w:tcPr>
                  <w:tcW w:w="54" w:type="dxa"/>
                  <w:vMerge/>
                </w:tcPr>
                <w:p w:rsidR="00154D43" w:rsidRDefault="00154D43">
                  <w:pPr>
                    <w:spacing w:after="0" w:line="240" w:lineRule="auto"/>
                  </w:pPr>
                </w:p>
              </w:tc>
              <w:tc>
                <w:tcPr>
                  <w:tcW w:w="3571"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rPr>
                      <w:color w:val="000000"/>
                    </w:rPr>
                  </w:pPr>
                  <w:r>
                    <w:rPr>
                      <w:color w:val="000000"/>
                    </w:rPr>
                    <w:t>I. Nekilnojamo turto valdymas</w:t>
                  </w:r>
                  <w:r>
                    <w:rPr>
                      <w:color w:val="000000"/>
                    </w:rPr>
                    <w:br/>
                    <w:t xml:space="preserve">1. Užtikrinti racionalų ir tausojantį turto valdymą.                                                                                 1.1. Vykdyti sunaudojamų energetinių išteklių apskaitą ir kontrolę metų pabaigoje parengti lyginamąją  analizę.                                                                                                                                        1.2. Pateikiamos išvados ir pasiūlymai dėl racionalesnio išteklių naudojimo.  </w:t>
                  </w:r>
                  <w:r>
                    <w:rPr>
                      <w:color w:val="000000"/>
                    </w:rPr>
                    <w:br/>
                    <w:t>2. Užtikrinti įstaigos nuomojamų patalpų tausojantį turto valdymą.</w:t>
                  </w:r>
                  <w:r>
                    <w:rPr>
                      <w:color w:val="000000"/>
                    </w:rPr>
                    <w:br/>
                    <w:t>2.1. Atliekamos patalpų apžiūros ir įvertinama esama situacija.                                                                       2.2. Atliekama ilgalaikio ir trumpalaikio turto inventorizacija.</w:t>
                  </w:r>
                </w:p>
                <w:p w:rsidR="00154D43" w:rsidRDefault="00154D43">
                  <w:pPr>
                    <w:spacing w:after="0" w:line="240" w:lineRule="auto"/>
                    <w:rPr>
                      <w:color w:val="000000"/>
                    </w:rPr>
                  </w:pPr>
                </w:p>
                <w:p w:rsidR="00154D43" w:rsidRDefault="00154D43">
                  <w:pPr>
                    <w:spacing w:after="0" w:line="240" w:lineRule="auto"/>
                    <w:rPr>
                      <w:color w:val="000000"/>
                    </w:rPr>
                  </w:pPr>
                </w:p>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Įstaigos valdomo nekilnojamojo turto 1 kv. m išlaikymo kaina, </w:t>
                  </w:r>
                  <w:proofErr w:type="spellStart"/>
                  <w:r>
                    <w:rPr>
                      <w:color w:val="000000"/>
                    </w:rPr>
                    <w:t>Eur</w:t>
                  </w:r>
                  <w:proofErr w:type="spellEnd"/>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20.00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9832A9">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Pagrindinėms įstaigos funkcijoms vykdyti naudojamo nekilnojamojo turto ploto dalis,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85.00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9832A9">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Įstaigos išnuomoto nekilnojamojo turto ploto dalis,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5.00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9832A9">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Įstaigos valdomo nekilnojamojo turto (kabinetų) plotas, tenkantis vienam įstaigos administracijos darbuotojui, Kv. 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12.00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val="restart"/>
                  <w:tcBorders>
                    <w:bottom w:val="nil"/>
                  </w:tcBorders>
                </w:tcPr>
                <w:p w:rsidR="00BA1432" w:rsidRDefault="00BA1432">
                  <w:pPr>
                    <w:spacing w:after="0" w:line="240" w:lineRule="auto"/>
                  </w:pPr>
                </w:p>
              </w:tc>
              <w:tc>
                <w:tcPr>
                  <w:tcW w:w="13837"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b/>
                      <w:color w:val="000000"/>
                    </w:rPr>
                    <w:t>PAGRINDINĖ VEIKLA (pagal teisės aktuose nustatytas funkcijas)</w:t>
                  </w:r>
                </w:p>
              </w:tc>
            </w:tr>
            <w:tr w:rsidR="00154D43" w:rsidTr="00AE525F">
              <w:trPr>
                <w:trHeight w:val="262"/>
              </w:trPr>
              <w:tc>
                <w:tcPr>
                  <w:tcW w:w="54" w:type="dxa"/>
                  <w:vMerge/>
                </w:tcPr>
                <w:p w:rsidR="00154D43" w:rsidRDefault="00154D43">
                  <w:pPr>
                    <w:spacing w:after="0" w:line="240" w:lineRule="auto"/>
                  </w:pPr>
                </w:p>
              </w:tc>
              <w:tc>
                <w:tcPr>
                  <w:tcW w:w="3571"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rsidR="00154D43" w:rsidRDefault="00154D43" w:rsidP="00154D43">
                  <w:pPr>
                    <w:spacing w:after="0" w:line="240" w:lineRule="auto"/>
                  </w:pPr>
                  <w:r>
                    <w:rPr>
                      <w:color w:val="000000"/>
                    </w:rPr>
                    <w:t>I. Ikimokyklinio ugdymo organizavimas</w:t>
                  </w:r>
                  <w:r>
                    <w:rPr>
                      <w:color w:val="000000"/>
                    </w:rPr>
                    <w:br/>
                    <w:t>1. Diegti aktyvų, patirtinį, kūrybišką ugdymą skatinančias ugdymo naujoves:</w:t>
                  </w:r>
                  <w:r>
                    <w:rPr>
                      <w:color w:val="000000"/>
                    </w:rPr>
                    <w:br/>
                    <w:t>1.1. Atnaujintas vaikų iki 3 metų ugdymo turinys</w:t>
                  </w:r>
                  <w:r>
                    <w:rPr>
                      <w:color w:val="000000"/>
                    </w:rPr>
                    <w:br/>
                    <w:t>1.2. Vyresniojo ikimokyklinio amžiaus vaikų grupėse taikomas kontekstų kūrimas, kaip vienas iš vaikų ugdymosi būdų.</w:t>
                  </w:r>
                  <w:r>
                    <w:rPr>
                      <w:color w:val="000000"/>
                    </w:rPr>
                    <w:br/>
                    <w:t>1.3 Taikomi žaidimo elementai ugdymo procese.</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Pagal ikimokyklinio ugdymo programą ugdomų švietimo įstaigoje vaikų skaičius,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135.00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AE525F">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Ikimokyklinio amžiaus vaikų skaičiaus kaita,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12.00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AE525F">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Ikimokyklinio amžiaus vaikų, turinčių specialiųjų ugdymosi poreikių, dalis nuo bendro vaikų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45.00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75681B">
              <w:trPr>
                <w:trHeight w:val="262"/>
              </w:trPr>
              <w:tc>
                <w:tcPr>
                  <w:tcW w:w="54" w:type="dxa"/>
                  <w:vMerge/>
                </w:tcPr>
                <w:p w:rsidR="00154D43" w:rsidRDefault="00154D43">
                  <w:pPr>
                    <w:spacing w:after="0" w:line="240" w:lineRule="auto"/>
                  </w:pPr>
                </w:p>
              </w:tc>
              <w:tc>
                <w:tcPr>
                  <w:tcW w:w="3571" w:type="dxa"/>
                  <w:vMerge w:val="restart"/>
                  <w:tcBorders>
                    <w:top w:val="single" w:sz="7" w:space="0" w:color="000000"/>
                    <w:left w:val="single" w:sz="7" w:space="0" w:color="000000"/>
                    <w:right w:val="single" w:sz="7" w:space="0" w:color="000000"/>
                  </w:tcBorders>
                  <w:tcMar>
                    <w:top w:w="39" w:type="dxa"/>
                    <w:left w:w="39" w:type="dxa"/>
                    <w:bottom w:w="39" w:type="dxa"/>
                    <w:right w:w="39" w:type="dxa"/>
                  </w:tcMar>
                </w:tcPr>
                <w:p w:rsidR="00154D43" w:rsidRDefault="00154D43" w:rsidP="00154D43">
                  <w:pPr>
                    <w:spacing w:after="0" w:line="240" w:lineRule="auto"/>
                  </w:pPr>
                  <w:r>
                    <w:rPr>
                      <w:color w:val="000000"/>
                    </w:rPr>
                    <w:t>II. Priešmokyklinio ugdymo organizavimas</w:t>
                  </w:r>
                  <w:r>
                    <w:rPr>
                      <w:color w:val="000000"/>
                    </w:rPr>
                    <w:br/>
                  </w:r>
                  <w:proofErr w:type="spellStart"/>
                  <w:r>
                    <w:rPr>
                      <w:color w:val="000000"/>
                    </w:rPr>
                    <w:t>organizavimas</w:t>
                  </w:r>
                  <w:proofErr w:type="spellEnd"/>
                  <w:r>
                    <w:rPr>
                      <w:color w:val="000000"/>
                    </w:rPr>
                    <w:t xml:space="preserve">                                                                                                                  1. Diegti aktyvų, patirtinį, kūrybišką ugdymą skatinančias ugdymo naujoves:</w:t>
                  </w:r>
                  <w:r>
                    <w:rPr>
                      <w:color w:val="000000"/>
                    </w:rPr>
                    <w:br/>
                    <w:t>1.1. Priešmokyklinio amžiaus vaikų grupėse taikomas kontekstų kūrimas, kaip vienas iš vaikų ugdymosi būdų.</w:t>
                  </w:r>
                  <w:r>
                    <w:rPr>
                      <w:color w:val="000000"/>
                    </w:rPr>
                    <w:br/>
                    <w:t>1.2.  Ugdomas vaikų pasitikėjimas savimi, bendravimo ir bendradarbiavimo įgūdžiai su kitais vykdant bendras veiklas, renginius, edukacijas su įstaigos socialiniais partneriais.</w:t>
                  </w:r>
                  <w:r>
                    <w:rPr>
                      <w:color w:val="000000"/>
                    </w:rPr>
                    <w:br/>
                    <w:t>1.3.  Mokslo metų pabaigoje parengti ataskaitas ir rekomendacijas tėvams (globėjams) ir kitos pakopos ugdymo mokytojams apie vaiko pasiekimus, vaiko pažangos stebėsenos rezultatus.</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Ugdymo įstaigą lankančių priešmokyklinio amžiaus vaikų dalis nuo bendro įstaigą lankančių vaikų (mokinių)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19.00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75681B">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 xml:space="preserve">Priešmokyklinio amžiaus vaikų (mokinių) skaičiaus kaita, </w:t>
                  </w:r>
                  <w:proofErr w:type="spellStart"/>
                  <w:r>
                    <w:rPr>
                      <w:color w:val="000000"/>
                    </w:rPr>
                    <w:t>Asm</w:t>
                  </w:r>
                  <w:proofErr w:type="spellEnd"/>
                  <w:r>
                    <w:rPr>
                      <w:color w:val="000000"/>
                    </w:rPr>
                    <w:t>.</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3.00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75681B">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Priešmokykliniame ugdyme dalyvaujančių vaikų (mokinių), turinčių specialiųjų ugdymosi poreikių, dalis nuo bendro pagal priešmokyklinio ugdymo programą ugdomų vaikų (mokinių)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40.00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val="restart"/>
                  <w:tcBorders>
                    <w:bottom w:val="nil"/>
                  </w:tcBorders>
                </w:tcPr>
                <w:p w:rsidR="00BA1432" w:rsidRDefault="00BA1432">
                  <w:pPr>
                    <w:spacing w:after="0" w:line="240" w:lineRule="auto"/>
                  </w:pPr>
                </w:p>
              </w:tc>
              <w:tc>
                <w:tcPr>
                  <w:tcW w:w="13837" w:type="dxa"/>
                  <w:gridSpan w:val="4"/>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BA1432" w:rsidRDefault="000360E7">
                  <w:pPr>
                    <w:spacing w:after="0" w:line="240" w:lineRule="auto"/>
                  </w:pPr>
                  <w:r>
                    <w:rPr>
                      <w:b/>
                      <w:color w:val="000000"/>
                    </w:rPr>
                    <w:t>PASLAUGŲ KOKYBĖ IR PRIEINAMUMAS</w:t>
                  </w: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val="restart"/>
                  <w:tcBorders>
                    <w:top w:val="single" w:sz="4" w:space="0" w:color="auto"/>
                    <w:left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I. Gerų ugdymo(</w:t>
                  </w:r>
                  <w:proofErr w:type="spellStart"/>
                  <w:r>
                    <w:rPr>
                      <w:color w:val="000000"/>
                    </w:rPr>
                    <w:t>si</w:t>
                  </w:r>
                  <w:proofErr w:type="spellEnd"/>
                  <w:r>
                    <w:rPr>
                      <w:color w:val="000000"/>
                    </w:rPr>
                    <w:t>) rezultatų užtikrinimas ikimokyklinio ugdymo programoje</w:t>
                  </w:r>
                  <w:r>
                    <w:rPr>
                      <w:color w:val="000000"/>
                    </w:rPr>
                    <w:br/>
                    <w:t xml:space="preserve">1. Didinti dėmesį vaikų iki 3 metų ugdymui:                                                            </w:t>
                  </w:r>
                  <w:r>
                    <w:rPr>
                      <w:color w:val="000000"/>
                    </w:rPr>
                    <w:br/>
                    <w:t xml:space="preserve">1.1. Atnaujinti vaikų iki 3 metų ugdymo turinį. </w:t>
                  </w:r>
                  <w:r>
                    <w:rPr>
                      <w:color w:val="000000"/>
                    </w:rPr>
                    <w:br/>
                    <w:t>1.2. Užtikrinti sklandų vaikų perėjimą iš lopšelio į darželio grupes.</w:t>
                  </w:r>
                </w:p>
              </w:tc>
              <w:tc>
                <w:tcPr>
                  <w:tcW w:w="2783" w:type="dxa"/>
                  <w:tcBorders>
                    <w:top w:val="single" w:sz="4" w:space="0" w:color="auto"/>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Ikimokyklinio amžiaus vaikų pasiekimų ir pažangos lygio, atitinkančio vaiko raidą, dalis nuo bendro besimokančių pagal ikimokyklinio ugdymo programą švietimo įstaigoje vaikų skaičiaus, Proc.</w:t>
                  </w:r>
                </w:p>
              </w:tc>
              <w:tc>
                <w:tcPr>
                  <w:tcW w:w="967" w:type="dxa"/>
                  <w:tcBorders>
                    <w:top w:val="single" w:sz="4" w:space="0" w:color="auto"/>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76.00</w:t>
                  </w:r>
                </w:p>
              </w:tc>
              <w:tc>
                <w:tcPr>
                  <w:tcW w:w="6516" w:type="dxa"/>
                  <w:tcBorders>
                    <w:top w:val="single" w:sz="4" w:space="0" w:color="auto"/>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tcBorders>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 xml:space="preserve">Vaikų, ugdomų pagal ikimokyklinio ugdymo programą švietimo įstaigoje, pagerinusių </w:t>
                  </w:r>
                  <w:r>
                    <w:rPr>
                      <w:color w:val="000000"/>
                    </w:rPr>
                    <w:lastRenderedPageBreak/>
                    <w:t>komunikavimo ir savarankiškumo, saviraiškos kompetencijas, dalis nuo bendro vaikų skaičiaus, Proc.</w:t>
                  </w:r>
                </w:p>
              </w:tc>
              <w:tc>
                <w:tcPr>
                  <w:tcW w:w="967"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lastRenderedPageBreak/>
                    <w:t>76.00</w:t>
                  </w:r>
                </w:p>
              </w:tc>
              <w:tc>
                <w:tcPr>
                  <w:tcW w:w="6516"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top w:val="single" w:sz="4" w:space="0" w:color="auto"/>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Ikimokyklinio amžiaus vaikų, turinčių specialiųjų ugdymosi poreikių, pagerinusių ugdymosi rezultatus, dalis, Proc.</w:t>
                  </w:r>
                </w:p>
              </w:tc>
              <w:tc>
                <w:tcPr>
                  <w:tcW w:w="96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75.00</w:t>
                  </w:r>
                </w:p>
              </w:tc>
              <w:tc>
                <w:tcPr>
                  <w:tcW w:w="6516"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Vaikų tėvų (globėjų, rūpintojų), patenkintų teikiamų ugdymo paslaugų kokybe, dalis nuo bendro jų skaičiaus, Proc.</w:t>
                  </w:r>
                </w:p>
              </w:tc>
              <w:tc>
                <w:tcPr>
                  <w:tcW w:w="967"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72.00</w:t>
                  </w:r>
                </w:p>
              </w:tc>
              <w:tc>
                <w:tcPr>
                  <w:tcW w:w="6516"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Įstaigos vadovų stebėtos ir vertintos labai gerai ir gerai ugdomosios veiklos dalis nuo bendro ikimokykliniam ugdymuisi skirtų veiklų skaičiaus, Proc.</w:t>
                  </w:r>
                </w:p>
              </w:tc>
              <w:tc>
                <w:tcPr>
                  <w:tcW w:w="967"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70.00</w:t>
                  </w:r>
                </w:p>
              </w:tc>
              <w:tc>
                <w:tcPr>
                  <w:tcW w:w="6516" w:type="dxa"/>
                  <w:tcBorders>
                    <w:top w:val="single" w:sz="4" w:space="0" w:color="auto"/>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left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Lankytų dienų dalis nuo bendro ugdymui(</w:t>
                  </w:r>
                  <w:proofErr w:type="spellStart"/>
                  <w:r>
                    <w:rPr>
                      <w:color w:val="000000"/>
                    </w:rPr>
                    <w:t>si</w:t>
                  </w:r>
                  <w:proofErr w:type="spellEnd"/>
                  <w:r>
                    <w:rPr>
                      <w:color w:val="000000"/>
                    </w:rPr>
                    <w:t>) skirtų dienų skaičiaus, Proc.</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70.00</w:t>
                  </w:r>
                </w:p>
              </w:tc>
              <w:tc>
                <w:tcPr>
                  <w:tcW w:w="651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Vykdomų tarptautinių ir respublikinių projektų skaičius, Vnt.</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15.00</w:t>
                  </w:r>
                </w:p>
              </w:tc>
              <w:tc>
                <w:tcPr>
                  <w:tcW w:w="651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val="restart"/>
                  <w:tcBorders>
                    <w:top w:val="single" w:sz="7" w:space="0" w:color="000000"/>
                    <w:left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II. Gerų ugdymo(</w:t>
                  </w:r>
                  <w:proofErr w:type="spellStart"/>
                  <w:r>
                    <w:rPr>
                      <w:color w:val="000000"/>
                    </w:rPr>
                    <w:t>si</w:t>
                  </w:r>
                  <w:proofErr w:type="spellEnd"/>
                  <w:r>
                    <w:rPr>
                      <w:color w:val="000000"/>
                    </w:rPr>
                    <w:t>) rezultatų užtikrinimas priešmokyklinio ugdymo programoje</w:t>
                  </w:r>
                  <w:r>
                    <w:rPr>
                      <w:color w:val="000000"/>
                    </w:rPr>
                    <w:br/>
                    <w:t>2. Diegti aktyvų, patirtinį, kūrybišką ugdymą skatinančias ugdymo naujoves:                                                                                                   2.1 Priešmokyklinio ir vyresnio ikimokyklinio amžiaus vaikų grupėse taikyti kontekstų kūrimą, kaip vieną iš ugdymosi būdų.</w:t>
                  </w:r>
                  <w:r>
                    <w:rPr>
                      <w:color w:val="000000"/>
                    </w:rPr>
                    <w:br/>
                    <w:t>2.2. Taikyti žaidimo elementus ugdymo procese.</w:t>
                  </w:r>
                  <w:r>
                    <w:rPr>
                      <w:color w:val="000000"/>
                    </w:rPr>
                    <w:br/>
                    <w:t>2.3. Ugdyti vaikų pasitikėjimą savimi, bendravimo ir bendradarbiavimo su kitais įgūdžius.</w:t>
                  </w:r>
                  <w:r>
                    <w:rPr>
                      <w:color w:val="000000"/>
                    </w:rPr>
                    <w:br/>
                    <w:t xml:space="preserve">3. Aktyviai dalyvauti kitų institucijų </w:t>
                  </w:r>
                  <w:r>
                    <w:rPr>
                      <w:color w:val="000000"/>
                    </w:rPr>
                    <w:lastRenderedPageBreak/>
                    <w:t>organizuojamuose renginiuose, projektuose bei patiems juos rengti.</w:t>
                  </w:r>
                </w:p>
              </w:tc>
              <w:tc>
                <w:tcPr>
                  <w:tcW w:w="2783"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lastRenderedPageBreak/>
                    <w:t>Priešmokyklinio amžiaus vaikų (mokinių), baigusių priešmokyklinio ugdymo programą, dalis, Proc.</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99.00</w:t>
                  </w:r>
                </w:p>
              </w:tc>
              <w:tc>
                <w:tcPr>
                  <w:tcW w:w="651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tcBorders>
                    <w:left w:val="single" w:sz="8" w:space="0" w:color="000000"/>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Priešmokyklinio amžiaus vaikų (mokinių), pagerinusių komunikavimo, savarankiškumo ir saviraiškos kompetencijas, dalis nuo bendro pagal priešmokyklinio ugdymo programą ugdomų vaikų (mokinių) skaičiaus, Proc.</w:t>
                  </w:r>
                </w:p>
              </w:tc>
              <w:tc>
                <w:tcPr>
                  <w:tcW w:w="967"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t>80.00</w:t>
                  </w:r>
                </w:p>
              </w:tc>
              <w:tc>
                <w:tcPr>
                  <w:tcW w:w="6516" w:type="dxa"/>
                  <w:tcBorders>
                    <w:top w:val="single" w:sz="8" w:space="0" w:color="000000"/>
                    <w:left w:val="single" w:sz="8" w:space="0" w:color="000000"/>
                    <w:bottom w:val="single" w:sz="7" w:space="0" w:color="000000"/>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Borders>
                    <w:right w:val="single" w:sz="8" w:space="0" w:color="000000"/>
                  </w:tcBorders>
                </w:tcPr>
                <w:p w:rsidR="00154D43" w:rsidRDefault="00154D43">
                  <w:pPr>
                    <w:spacing w:after="0" w:line="240" w:lineRule="auto"/>
                  </w:pPr>
                </w:p>
              </w:tc>
              <w:tc>
                <w:tcPr>
                  <w:tcW w:w="3571" w:type="dxa"/>
                  <w:vMerge/>
                  <w:tcBorders>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r>
                    <w:rPr>
                      <w:color w:val="000000"/>
                    </w:rPr>
                    <w:t xml:space="preserve">Priešmokyklinio amžiaus vaikų tėvų (globėjų, rūpintojų, įtėvių), </w:t>
                  </w:r>
                  <w:r>
                    <w:rPr>
                      <w:color w:val="000000"/>
                    </w:rPr>
                    <w:lastRenderedPageBreak/>
                    <w:t>patenkintų teikiamų ugdymo paslaugų kokybe, dalis nuo bendro jų skaičiaus, Proc.</w:t>
                  </w:r>
                </w:p>
              </w:tc>
              <w:tc>
                <w:tcPr>
                  <w:tcW w:w="967"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jc w:val="center"/>
                  </w:pPr>
                  <w:r>
                    <w:rPr>
                      <w:color w:val="000000"/>
                    </w:rPr>
                    <w:lastRenderedPageBreak/>
                    <w:t>72.00</w:t>
                  </w:r>
                </w:p>
              </w:tc>
              <w:tc>
                <w:tcPr>
                  <w:tcW w:w="6516" w:type="dxa"/>
                  <w:tcBorders>
                    <w:top w:val="single" w:sz="7" w:space="0" w:color="000000"/>
                    <w:left w:val="single" w:sz="8" w:space="0" w:color="000000"/>
                    <w:bottom w:val="single" w:sz="4" w:space="0" w:color="auto"/>
                    <w:right w:val="single" w:sz="8" w:space="0" w:color="000000"/>
                  </w:tcBorders>
                  <w:tcMar>
                    <w:top w:w="39" w:type="dxa"/>
                    <w:left w:w="39" w:type="dxa"/>
                    <w:bottom w:w="39" w:type="dxa"/>
                    <w:right w:w="39" w:type="dxa"/>
                  </w:tcMar>
                </w:tcPr>
                <w:p w:rsidR="00154D43" w:rsidRDefault="00154D43">
                  <w:pPr>
                    <w:spacing w:after="0" w:line="240" w:lineRule="auto"/>
                  </w:pPr>
                </w:p>
              </w:tc>
            </w:tr>
            <w:tr w:rsidR="00154D43" w:rsidTr="00154D43">
              <w:trPr>
                <w:trHeight w:val="262"/>
              </w:trPr>
              <w:tc>
                <w:tcPr>
                  <w:tcW w:w="54" w:type="dxa"/>
                  <w:vMerge/>
                </w:tcPr>
                <w:p w:rsidR="00154D43" w:rsidRDefault="00154D43">
                  <w:pPr>
                    <w:spacing w:after="0" w:line="240" w:lineRule="auto"/>
                  </w:pPr>
                </w:p>
              </w:tc>
              <w:tc>
                <w:tcPr>
                  <w:tcW w:w="3571" w:type="dxa"/>
                  <w:vMerge/>
                  <w:tcBorders>
                    <w:top w:val="single" w:sz="4" w:space="0" w:color="auto"/>
                    <w:left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Įstaigos vadovų stebėtų priešmokyklinio ugdymo programos veiklų dalis nuo bendro priešmokykliniam ugdymui skirtų veiklų skaičiaus, Proc.</w:t>
                  </w:r>
                </w:p>
              </w:tc>
              <w:tc>
                <w:tcPr>
                  <w:tcW w:w="96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0.01</w:t>
                  </w:r>
                </w:p>
              </w:tc>
              <w:tc>
                <w:tcPr>
                  <w:tcW w:w="6516"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154D43" w:rsidTr="007B745E">
              <w:trPr>
                <w:trHeight w:val="262"/>
              </w:trPr>
              <w:tc>
                <w:tcPr>
                  <w:tcW w:w="54" w:type="dxa"/>
                  <w:vMerge/>
                </w:tcPr>
                <w:p w:rsidR="00154D43" w:rsidRDefault="00154D43">
                  <w:pPr>
                    <w:spacing w:after="0" w:line="240" w:lineRule="auto"/>
                  </w:pPr>
                </w:p>
              </w:tc>
              <w:tc>
                <w:tcPr>
                  <w:tcW w:w="3571" w:type="dxa"/>
                  <w:vMerge/>
                  <w:tcBorders>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r>
                    <w:rPr>
                      <w:color w:val="000000"/>
                    </w:rPr>
                    <w:t>Lankytų dienų dalis nuo bendro ugdymui skirtų dienų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jc w:val="center"/>
                  </w:pPr>
                  <w:r>
                    <w:rPr>
                      <w:color w:val="000000"/>
                    </w:rPr>
                    <w:t>60.00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54D43" w:rsidRDefault="00154D43">
                  <w:pPr>
                    <w:spacing w:after="0" w:line="240" w:lineRule="auto"/>
                  </w:pP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III. Saugumo ir geros savijautos užtikrinimas ikimokyklinio ugdymo programoje</w:t>
                  </w:r>
                  <w:r>
                    <w:rPr>
                      <w:color w:val="000000"/>
                    </w:rPr>
                    <w:br/>
                    <w:t>II Saugumo ir geros savijautos užtikrinimas :                                                                                                               1. Užtikrinama pozityvi, saugi ugdymo(</w:t>
                  </w:r>
                  <w:proofErr w:type="spellStart"/>
                  <w:r>
                    <w:rPr>
                      <w:color w:val="000000"/>
                    </w:rPr>
                    <w:t>si</w:t>
                  </w:r>
                  <w:proofErr w:type="spellEnd"/>
                  <w:r>
                    <w:rPr>
                      <w:color w:val="000000"/>
                    </w:rPr>
                    <w:t>) aplinka, gerinanti socialinio-emocinio ugdymo kompetencijas.                                                                                                                                       1.1. Socialinio-emocinio ugdymo programos „</w:t>
                  </w:r>
                  <w:proofErr w:type="spellStart"/>
                  <w:r>
                    <w:rPr>
                      <w:color w:val="000000"/>
                    </w:rPr>
                    <w:t>Kimochis</w:t>
                  </w:r>
                  <w:proofErr w:type="spellEnd"/>
                  <w:r>
                    <w:rPr>
                      <w:color w:val="000000"/>
                    </w:rPr>
                    <w:t>“ vykdymas ikimokyklinėse ugdymo grupėse.</w:t>
                  </w:r>
                  <w:r>
                    <w:rPr>
                      <w:color w:val="000000"/>
                    </w:rPr>
                    <w:br/>
                    <w:t>1.2. Socialinio-emocinio ugdymo programos „</w:t>
                  </w:r>
                  <w:proofErr w:type="spellStart"/>
                  <w:r>
                    <w:rPr>
                      <w:color w:val="000000"/>
                    </w:rPr>
                    <w:t>Zipio</w:t>
                  </w:r>
                  <w:proofErr w:type="spellEnd"/>
                  <w:r>
                    <w:rPr>
                      <w:color w:val="000000"/>
                    </w:rPr>
                    <w:t xml:space="preserve"> draugai“ vykdymas priešmokyklinio ugdymo grupėse.                                                                                                                                               1.3. Įgyvendinamas naujos sveikatos stiprinimo programos „Sveikuoliai, vikruoliai užaugti dideli svajoja 2025-2030 m. “ planas, integruojant veiklas su tėvais ir visa įstaigos bendruomene, stiprinant vaikų fizinę, psichinę, socialinę sveikatą.</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Vaikų, saugiai ir gerai besijaučiančių švietimo įstaigoje, dalis,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67.00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III. Saugumo ir geros savijautos užtikrinimas ikimokyklinio ugdymo programoje</w:t>
                  </w:r>
                  <w:r>
                    <w:rPr>
                      <w:color w:val="000000"/>
                    </w:rPr>
                    <w:br/>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Grupių, dalyvaujančių socialinio emocinio ugdymo, sveikatos stiprinimo programose, dalis nuo bendro grupių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BA1432">
                  <w:pPr>
                    <w:spacing w:after="0" w:line="240" w:lineRule="auto"/>
                  </w:pP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IV. Geros savijautos užtikrinimas priešmokyklinio ugdymo programoje</w:t>
                  </w:r>
                  <w:r>
                    <w:rPr>
                      <w:color w:val="000000"/>
                    </w:rPr>
                    <w:br/>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Vaikų (mokinių), ugdomų pagal priešmokyklinio ugdymo programą, saugiai ir gerai </w:t>
                  </w:r>
                  <w:r>
                    <w:rPr>
                      <w:color w:val="000000"/>
                    </w:rPr>
                    <w:lastRenderedPageBreak/>
                    <w:t>besijaučiančių ugdymo įstaigoje, dalis,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lastRenderedPageBreak/>
                    <w:t>67.00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V. Paslaugų, atsižvelgiant į vaiko poreikius, užtikrinimas ikimokyklinio ugdymo programoje</w:t>
                  </w:r>
                  <w:r>
                    <w:rPr>
                      <w:color w:val="000000"/>
                    </w:rPr>
                    <w:br/>
                    <w:t>III Paslaugų, atsižvelgiant į vaiko (mokinio) poreikius, užtikrinimas :                                                                   1.Stiprinti švietimo pagalbos įstaigoje teikimą, siekiant maksimaliai patenkinti vaikų poreikius:</w:t>
                  </w:r>
                  <w:r>
                    <w:rPr>
                      <w:color w:val="000000"/>
                    </w:rPr>
                    <w:br/>
                    <w:t>1.1 Stiprinti VGK veiklą, skatinant vaikų šeimų bendradarbiavimą su įstaiga.                                                                             1.2. Pastoviai teikti švietimo pagalbos specialistų paslaugas.                                                                                   1.3 Integruoti švietimo pagalbos specialistų paslaugas į bendras grupės veiklas.</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Švietimo pagalbos teikiamomis paslaugomis besinaudojančių vaikų dalis nuo bendro jų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50.00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r w:rsidR="00BA1432" w:rsidTr="00154D43">
              <w:trPr>
                <w:trHeight w:val="262"/>
              </w:trPr>
              <w:tc>
                <w:tcPr>
                  <w:tcW w:w="54" w:type="dxa"/>
                  <w:vMerge/>
                </w:tcPr>
                <w:p w:rsidR="00BA1432" w:rsidRDefault="00BA1432">
                  <w:pPr>
                    <w:spacing w:after="0" w:line="240" w:lineRule="auto"/>
                  </w:pPr>
                </w:p>
              </w:tc>
              <w:tc>
                <w:tcPr>
                  <w:tcW w:w="35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VI. Paslaugų, atsižvelgiant į vaiko (mokinio) poreikius, užtikrinimas priešmokyklinio ugdymo programoje</w:t>
                  </w:r>
                  <w:r>
                    <w:rPr>
                      <w:color w:val="000000"/>
                    </w:rPr>
                    <w:br/>
                    <w:t>III Paslaugų, atsižvelgiant į vaiko (mokinio) poreikius, užtikrinimas :                                                                   1.Stiprinti švietimo pagalbos įstaigoje teikimą, siekiant maksimaliai patenkinti vaikų poreikius:</w:t>
                  </w:r>
                  <w:r>
                    <w:rPr>
                      <w:color w:val="000000"/>
                    </w:rPr>
                    <w:br/>
                    <w:t>1.1 Stiprinti VGK veiklą, skatinant vaikų šeimų bendradarbiavimą su įstaiga.                                                                             1.2. Pastoviai teikti švietimo pagalbos specialistų paslaugas.                                                                                   1.3 Integruoti švietimo pagalbos specialistų paslaugas į bendras grupės veiklas.</w:t>
                  </w:r>
                </w:p>
              </w:tc>
              <w:tc>
                <w:tcPr>
                  <w:tcW w:w="2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Švietimo įstaigos teikiamomis pagalbos paslaugomis besinaudojančių vaikų (mokinių), ugdomų pagal priešmokyklinio ugdymo programą, dalis nuo bendro jų skaičiaus, Proc.</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jc w:val="center"/>
                  </w:pPr>
                  <w:r>
                    <w:rPr>
                      <w:color w:val="000000"/>
                    </w:rPr>
                    <w:t>50.00</w:t>
                  </w:r>
                </w:p>
              </w:tc>
              <w:tc>
                <w:tcPr>
                  <w:tcW w:w="6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A1432" w:rsidRDefault="000360E7">
                  <w:pPr>
                    <w:spacing w:after="0" w:line="240" w:lineRule="auto"/>
                  </w:pPr>
                  <w:r>
                    <w:rPr>
                      <w:color w:val="000000"/>
                    </w:rPr>
                    <w:t xml:space="preserve">Sonata </w:t>
                  </w:r>
                  <w:proofErr w:type="spellStart"/>
                  <w:r>
                    <w:rPr>
                      <w:color w:val="000000"/>
                    </w:rPr>
                    <w:t>Lažauninkienė</w:t>
                  </w:r>
                  <w:proofErr w:type="spellEnd"/>
                  <w:r>
                    <w:rPr>
                      <w:color w:val="000000"/>
                    </w:rPr>
                    <w:t xml:space="preserve"> Direktorė, </w:t>
                  </w:r>
                </w:p>
              </w:tc>
            </w:tr>
          </w:tbl>
          <w:p w:rsidR="00BA1432" w:rsidRDefault="00BA1432">
            <w:pPr>
              <w:spacing w:after="0" w:line="240" w:lineRule="auto"/>
            </w:pPr>
          </w:p>
        </w:tc>
      </w:tr>
      <w:tr w:rsidR="00BA1432">
        <w:trPr>
          <w:trHeight w:val="100"/>
        </w:trPr>
        <w:tc>
          <w:tcPr>
            <w:tcW w:w="9" w:type="dxa"/>
          </w:tcPr>
          <w:p w:rsidR="00BA1432" w:rsidRDefault="00BA1432">
            <w:pPr>
              <w:pStyle w:val="EmptyCellLayoutStyle"/>
              <w:spacing w:after="0" w:line="240" w:lineRule="auto"/>
            </w:pPr>
          </w:p>
        </w:tc>
        <w:tc>
          <w:tcPr>
            <w:tcW w:w="5595" w:type="dxa"/>
          </w:tcPr>
          <w:p w:rsidR="00BA1432" w:rsidRDefault="00BA1432">
            <w:pPr>
              <w:pStyle w:val="EmptyCellLayoutStyle"/>
              <w:spacing w:after="0" w:line="240" w:lineRule="auto"/>
            </w:pPr>
          </w:p>
        </w:tc>
        <w:tc>
          <w:tcPr>
            <w:tcW w:w="3961" w:type="dxa"/>
          </w:tcPr>
          <w:p w:rsidR="00BA1432" w:rsidRDefault="00BA1432">
            <w:pPr>
              <w:pStyle w:val="EmptyCellLayoutStyle"/>
              <w:spacing w:after="0" w:line="240" w:lineRule="auto"/>
            </w:pPr>
          </w:p>
        </w:tc>
      </w:tr>
    </w:tbl>
    <w:p w:rsidR="00154D43" w:rsidRDefault="00154D43">
      <w:pPr>
        <w:spacing w:after="0" w:line="240" w:lineRule="auto"/>
      </w:pPr>
    </w:p>
    <w:p w:rsidR="00154D43" w:rsidRDefault="00154D43" w:rsidP="000360E7">
      <w:pPr>
        <w:spacing w:after="0" w:line="240" w:lineRule="auto"/>
      </w:pPr>
      <w:r>
        <w:t xml:space="preserve">      PRITARTA</w:t>
      </w:r>
    </w:p>
    <w:p w:rsidR="00154D43" w:rsidRDefault="00154D43" w:rsidP="000360E7">
      <w:pPr>
        <w:spacing w:after="0" w:line="240" w:lineRule="auto"/>
      </w:pPr>
      <w:r>
        <w:t xml:space="preserve">      Kauno lopšelio-darželio „Tukas“ </w:t>
      </w:r>
    </w:p>
    <w:p w:rsidR="00154D43" w:rsidRDefault="00154D43" w:rsidP="000360E7">
      <w:pPr>
        <w:spacing w:after="0" w:line="240" w:lineRule="auto"/>
      </w:pPr>
      <w:r>
        <w:t xml:space="preserve">      202</w:t>
      </w:r>
      <w:r w:rsidR="000360E7">
        <w:t xml:space="preserve">5 m. vasario 28 d. </w:t>
      </w:r>
    </w:p>
    <w:p w:rsidR="00BA1432" w:rsidRPr="00154D43" w:rsidRDefault="00154D43" w:rsidP="000360E7">
      <w:pPr>
        <w:spacing w:after="0" w:line="240" w:lineRule="auto"/>
      </w:pPr>
      <w:r>
        <w:t xml:space="preserve">      Tarybos protokoliniu nutarimu Nr. LDT</w:t>
      </w:r>
      <w:r w:rsidR="000360E7">
        <w:t>-2</w:t>
      </w:r>
      <w:r>
        <w:t xml:space="preserve">  </w:t>
      </w:r>
    </w:p>
    <w:sectPr w:rsidR="00BA1432" w:rsidRPr="00154D43" w:rsidSect="00154D43">
      <w:pgSz w:w="16837" w:h="11905" w:orient="landscape"/>
      <w:pgMar w:top="1133" w:right="1133" w:bottom="1133" w:left="1133" w:header="0" w:footer="0"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32"/>
    <w:rsid w:val="000360E7"/>
    <w:rsid w:val="00154D43"/>
    <w:rsid w:val="00211488"/>
    <w:rsid w:val="00346A19"/>
    <w:rsid w:val="00484AF4"/>
    <w:rsid w:val="00AC589F"/>
    <w:rsid w:val="00BA1432"/>
    <w:rsid w:val="00FB78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B6768-D716-4FCF-AF84-4F118CC1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9926</Words>
  <Characters>5658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DTK1</dc:creator>
  <dc:description/>
  <cp:lastModifiedBy>TUKASi5</cp:lastModifiedBy>
  <cp:revision>2</cp:revision>
  <dcterms:created xsi:type="dcterms:W3CDTF">2025-10-10T11:03:00Z</dcterms:created>
  <dcterms:modified xsi:type="dcterms:W3CDTF">2025-10-10T11:03:00Z</dcterms:modified>
</cp:coreProperties>
</file>